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Профилактическая работа и надзорная деятельность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Профилактическая работа и надзорная деятельность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1. Контактные сведения об управлении надзорной деятельности ипрофилактической работы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2. Реформа контрольно-надзорной деятельности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3. Виды государственного надзора и контроля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4. Государственные услуги, предоставляемые МЧС 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5. Планы и результаты проведения плановых проверок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6. Профилактика нарушений обязательных требований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7. Порядок обжалования решений, действий (бездействий) должностныхлиц надзорных органов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8. Информация о публичных обсуждениях правоприменительной практикиорганов надзорной деятельности МЧС 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9. Программа по профилактике нарушений обязательныхтребований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10. "Черные списки" объектов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11. Статистические данные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12. Обучающие и пропагандистские материалы по пожарнойбезопасности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13. Перечни объектов защиты, которым присвоены категориирисков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14. Дополнительная информация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1" w:history="1">
              <w:r>
                <w:rPr/>
                <w:t xml:space="preserve">15. Организационно-распорядительные документы по созданию нештатныхслужб профилактики пожаров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D7FAD46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filakticheskaya-rabota-i-nadzornaya-deyatelnost/1-kontaktnye-svedeniya-ob-upravlenii-nadzornoy-deyatelnosti-i-profilakticheskoy-raboty" TargetMode="External"/><Relationship Id="rId8" Type="http://schemas.openxmlformats.org/officeDocument/2006/relationships/hyperlink" Target="/deyatelnost/profilakticheskaya-rabota-i-nadzornaya-deyatelnost/2-reforma-kontrolno-nadzornoy-deyatelnosti" TargetMode="External"/><Relationship Id="rId9" Type="http://schemas.openxmlformats.org/officeDocument/2006/relationships/hyperlink" Target="/deyatelnost/profilakticheskaya-rabota-i-nadzornaya-deyatelnost/3-vidy-gosudarstvennogo-nadzora-i-kontrolya" TargetMode="External"/><Relationship Id="rId10" Type="http://schemas.openxmlformats.org/officeDocument/2006/relationships/hyperlink" Target="/deyatelnost/profilakticheskaya-rabota-i-nadzornaya-deyatelnost/4-gosudarstvennye-uslugi-predostavlyaemye-mchs-rossii" TargetMode="External"/><Relationship Id="rId11" Type="http://schemas.openxmlformats.org/officeDocument/2006/relationships/hyperlink" Target="/deyatelnost/profilakticheskaya-rabota-i-nadzornaya-deyatelnost/5-plany-i-rezultaty-provedeniya-planovyh-proverok" TargetMode="External"/><Relationship Id="rId12" Type="http://schemas.openxmlformats.org/officeDocument/2006/relationships/hyperlink" Target="/deyatelnost/profilakticheskaya-rabota-i-nadzornaya-deyatelnost/6-profilaktika-narusheniy-obyazatelnyh-trebovaniy" TargetMode="External"/><Relationship Id="rId13" Type="http://schemas.openxmlformats.org/officeDocument/2006/relationships/hyperlink" Target="/deyatelnost/profilakticheskaya-rabota-i-nadzornaya-deyatelnost/7-poryadok-obzhalovaniya-resheniy-deystviy-bezdeystviy-dolzhnostnyh-lic-nadzornyh-organov" TargetMode="External"/><Relationship Id="rId14" Type="http://schemas.openxmlformats.org/officeDocument/2006/relationships/hyperlink" Target="/deyatelnost/profilakticheskaya-rabota-i-nadzornaya-deyatelnost/8-informaciya-o-publichnyh-obsuzhdeniyah-pravoprimenitelnoy-praktiki-organov-nadzornoy-deyatelnosti-mchs-rossii" TargetMode="External"/><Relationship Id="rId15" Type="http://schemas.openxmlformats.org/officeDocument/2006/relationships/hyperlink" Target="/deyatelnost/profilakticheskaya-rabota-i-nadzornaya-deyatelnost/9-programma-po-profilaktike-narusheniy-obyazatelnyh-trebovaniy" TargetMode="External"/><Relationship Id="rId16" Type="http://schemas.openxmlformats.org/officeDocument/2006/relationships/hyperlink" Target="/deyatelnost/profilakticheskaya-rabota-i-nadzornaya-deyatelnost/10-chernye-spiski-obektov" TargetMode="External"/><Relationship Id="rId17" Type="http://schemas.openxmlformats.org/officeDocument/2006/relationships/hyperlink" Target="/deyatelnost/profilakticheskaya-rabota-i-nadzornaya-deyatelnost/11-statisticheskie-dannye" TargetMode="External"/><Relationship Id="rId18" Type="http://schemas.openxmlformats.org/officeDocument/2006/relationships/hyperlink" Target="/deyatelnost/profilakticheskaya-rabota-i-nadzornaya-deyatelnost/12-obuchayushchie-i-propagandistskie-materialy-po-pozharnoy-bezopasnosti" TargetMode="External"/><Relationship Id="rId19" Type="http://schemas.openxmlformats.org/officeDocument/2006/relationships/hyperlink" Target="/deyatelnost/profilakticheskaya-rabota-i-nadzornaya-deyatelnost/13-perechni-obektov-zashchity-kotorym-prisvoeny-kategorii-riskov" TargetMode="External"/><Relationship Id="rId20" Type="http://schemas.openxmlformats.org/officeDocument/2006/relationships/hyperlink" Target="/deyatelnost/profilakticheskaya-rabota-i-nadzornaya-deyatelnost/14-dopolnitelnaya-informaciya" TargetMode="External"/><Relationship Id="rId21" Type="http://schemas.openxmlformats.org/officeDocument/2006/relationships/hyperlink" Target="/deyatelnost/profilakticheskaya-rabota-i-nadzornaya-deyatelnost/15-organizacionno-rasporyaditelnye-dokumenty-po-sozdaniyu-neshtatnyh-sluzhb-profilaktiki-pozhar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2021-04-23T05:42:14+03:00</dcterms:created>
  <dcterms:modified xsi:type="dcterms:W3CDTF">2021-04-23T05:42:14+03:00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